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60"/>
        <w:ind w:left="5670"/>
        <w:rPr/>
      </w:pPr>
      <w:r>
        <w:rPr>
          <w:rFonts w:eastAsia="Times New Roman" w:cs="Times New Roman"/>
          <w:b/>
          <w:bCs/>
          <w:sz w:val="24"/>
          <w:szCs w:val="24"/>
        </w:rPr>
        <w:t>УТВЕРЖДАЮ</w:t>
      </w:r>
    </w:p>
    <w:p>
      <w:pPr>
        <w:pStyle w:val="Normal"/>
        <w:spacing w:before="0" w:after="0"/>
        <w:ind w:left="5670"/>
        <w:rPr/>
      </w:pPr>
      <w:r>
        <w:rPr>
          <w:rFonts w:eastAsia="Times New Roman" w:cs="Times New Roman"/>
          <w:sz w:val="24"/>
          <w:szCs w:val="24"/>
        </w:rPr>
        <w:t>_______________________</w:t>
      </w:r>
    </w:p>
    <w:p>
      <w:pPr>
        <w:pStyle w:val="Normal"/>
        <w:spacing w:before="0" w:after="60"/>
        <w:ind w:left="5670"/>
        <w:rPr/>
      </w:pPr>
      <w:r>
        <w:rPr>
          <w:rFonts w:eastAsia="Times New Roman" w:cs="Times New Roman"/>
          <w:sz w:val="18"/>
          <w:szCs w:val="18"/>
        </w:rPr>
        <w:t>(должность)</w:t>
      </w:r>
    </w:p>
    <w:p>
      <w:pPr>
        <w:pStyle w:val="Normal"/>
        <w:spacing w:before="0" w:after="60"/>
        <w:ind w:left="5670"/>
        <w:rPr/>
      </w:pPr>
      <w:r>
        <w:rPr>
          <w:rFonts w:eastAsia="Times New Roman" w:cs="Times New Roman"/>
          <w:sz w:val="24"/>
          <w:szCs w:val="24"/>
        </w:rPr>
        <w:t>ООО «»</w:t>
      </w:r>
    </w:p>
    <w:p>
      <w:pPr>
        <w:pStyle w:val="Normal"/>
        <w:spacing w:before="0" w:after="60"/>
        <w:ind w:left="5670"/>
        <w:rPr/>
      </w:pPr>
      <w:r>
        <w:rPr>
          <w:rFonts w:eastAsia="Times New Roman" w:cs="Times New Roman"/>
          <w:sz w:val="24"/>
          <w:szCs w:val="24"/>
        </w:rPr>
        <w:t>_____________ / ____________</w:t>
      </w:r>
    </w:p>
    <w:p>
      <w:pPr>
        <w:pStyle w:val="Normal"/>
        <w:spacing w:before="0" w:after="360"/>
        <w:ind w:left="5670"/>
        <w:rPr/>
      </w:pPr>
      <w:r>
        <w:rPr>
          <w:rFonts w:eastAsia="Times New Roman" w:cs="Times New Roman"/>
          <w:sz w:val="24"/>
          <w:szCs w:val="24"/>
        </w:rPr>
        <w:t>«___» ___________ 2026 г.</w:t>
      </w:r>
    </w:p>
    <w:p>
      <w:pPr>
        <w:pStyle w:val="Normal"/>
        <w:spacing w:before="0" w:after="120"/>
        <w:jc w:val="center"/>
        <w:rPr/>
      </w:pPr>
      <w:r>
        <w:rPr>
          <w:rFonts w:eastAsia="Times New Roman" w:cs="Times New Roman"/>
          <w:b/>
          <w:bCs/>
          <w:sz w:val="28"/>
          <w:szCs w:val="28"/>
        </w:rPr>
        <w:t>ТЕХНИЧЕСКОЕ ЗАДАНИЕ</w:t>
      </w:r>
    </w:p>
    <w:p>
      <w:pPr>
        <w:pStyle w:val="Normal"/>
        <w:spacing w:before="0" w:after="120"/>
        <w:jc w:val="center"/>
        <w:rPr/>
      </w:pPr>
      <w:r>
        <w:rPr>
          <w:rFonts w:eastAsia="Times New Roman" w:cs="Times New Roman"/>
          <w:b/>
          <w:bCs/>
          <w:sz w:val="24"/>
          <w:szCs w:val="24"/>
        </w:rPr>
        <w:t>на проектирование кабельных трасс (лотков) комплекса автоматизированного контроля ПДК паров кислоты и комплекса дистанционного контроля температурных режимов приготовления РКС</w:t>
      </w:r>
    </w:p>
    <w:p>
      <w:pPr>
        <w:pStyle w:val="Normal"/>
        <w:spacing w:before="0" w:after="36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/>
      </w:r>
    </w:p>
    <w:p>
      <w:pPr>
        <w:pStyle w:val="Normal"/>
        <w:keepNext w:val="true"/>
        <w:keepLines/>
        <w:spacing w:before="240" w:after="120"/>
        <w:rPr/>
      </w:pPr>
      <w:r>
        <w:rPr>
          <w:rFonts w:eastAsia="Times New Roman" w:cs="Times New Roman"/>
          <w:b/>
          <w:bCs/>
          <w:sz w:val="24"/>
          <w:szCs w:val="24"/>
        </w:rPr>
        <w:t>1. Общие сведения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 xml:space="preserve">1.1. Заказчик работ:  (далее — </w:t>
      </w:r>
      <w:r>
        <w:rPr>
          <w:rFonts w:eastAsia="Times New Roman" w:cs="Times New Roman"/>
          <w:sz w:val="24"/>
          <w:szCs w:val="24"/>
        </w:rPr>
        <w:t>Заказчик</w:t>
      </w:r>
      <w:r>
        <w:rPr>
          <w:rFonts w:eastAsia="Times New Roman" w:cs="Times New Roman"/>
          <w:sz w:val="24"/>
          <w:szCs w:val="24"/>
        </w:rPr>
        <w:t xml:space="preserve">), </w:t>
      </w:r>
      <w:r>
        <w:rPr>
          <w:rFonts w:eastAsia="Times New Roman" w:cs="Times New Roman"/>
          <w:sz w:val="24"/>
          <w:szCs w:val="24"/>
        </w:rPr>
        <w:t>Калуга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1.2. Исполнитель комплексов: ООО «».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1.3. Проектировщик: _______________________.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1.4. Объект: здание №2 ОП, участок ПХР: отделение хранителей кислот (отм. 0,000) и отделение смесителей кислот (отм. 4,600 и 7,200).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1.5. Основание: технические задания Заказчика на комплекс автоматизированного контроля и сигнализации превышения ПДК паров кислоты (далее — Комплекс 1) и на комплекс средств дистанционного контроля температурных режимов приготовления РКС фазы ПХР, рев. 7 (далее — Комплекс 2).</w:t>
      </w:r>
    </w:p>
    <w:p>
      <w:pPr>
        <w:pStyle w:val="Normal"/>
        <w:keepNext w:val="true"/>
        <w:keepLines/>
        <w:spacing w:before="240" w:after="120"/>
        <w:rPr/>
      </w:pPr>
      <w:r>
        <w:rPr>
          <w:rFonts w:eastAsia="Times New Roman" w:cs="Times New Roman"/>
          <w:b/>
          <w:bCs/>
          <w:sz w:val="24"/>
          <w:szCs w:val="24"/>
        </w:rPr>
        <w:t>2. Цель работы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Разработать проектные решения по прокладке кабельных трасс в лотках от полевых приборов Комплексов 1 и 2 до шкафов комплексов, включая выбор типа и материала лотков, трассировку по отметкам, узлы проходов через стены и перекрытия и спецификацию материалов.</w:t>
      </w:r>
    </w:p>
    <w:p>
      <w:pPr>
        <w:pStyle w:val="Normal"/>
        <w:keepNext w:val="true"/>
        <w:keepLines/>
        <w:spacing w:before="240" w:after="120"/>
        <w:rPr/>
      </w:pPr>
      <w:r>
        <w:rPr>
          <w:rFonts w:eastAsia="Times New Roman" w:cs="Times New Roman"/>
          <w:b/>
          <w:bCs/>
          <w:sz w:val="24"/>
          <w:szCs w:val="24"/>
        </w:rPr>
        <w:t>3. Исходные данные</w:t>
      </w:r>
    </w:p>
    <w:p>
      <w:pPr>
        <w:pStyle w:val="ListParagraph"/>
        <w:numPr>
          <w:ilvl w:val="0"/>
          <w:numId w:val="3"/>
        </w:numPr>
        <w:spacing w:lineRule="exact" w:line="262" w:before="0" w:after="60"/>
        <w:jc w:val="both"/>
        <w:rPr/>
      </w:pPr>
      <w:r>
        <w:rPr>
          <w:rFonts w:eastAsia="Times New Roman" w:cs="Times New Roman"/>
          <w:sz w:val="24"/>
          <w:szCs w:val="24"/>
        </w:rPr>
        <w:t>Технические задания Заказчика на Комплексы 1 и 2.</w:t>
      </w:r>
    </w:p>
    <w:p>
      <w:pPr>
        <w:pStyle w:val="ListParagraph"/>
        <w:numPr>
          <w:ilvl w:val="0"/>
          <w:numId w:val="1"/>
        </w:numPr>
        <w:spacing w:lineRule="exact" w:line="262" w:before="0" w:after="60"/>
        <w:jc w:val="both"/>
        <w:rPr/>
      </w:pPr>
      <w:r>
        <w:rPr>
          <w:rFonts w:eastAsia="Times New Roman" w:cs="Times New Roman"/>
          <w:sz w:val="24"/>
          <w:szCs w:val="24"/>
        </w:rPr>
        <w:t>Письмо-обоснование расстановки газоанализаторов Комплекса 1, согласованное Заказчика, с планами расстановки точек контроля (документ 01/09-2026-АО, листы 1 и 4).</w:t>
      </w:r>
    </w:p>
    <w:p>
      <w:pPr>
        <w:pStyle w:val="ListParagraph"/>
        <w:numPr>
          <w:ilvl w:val="0"/>
          <w:numId w:val="1"/>
        </w:numPr>
        <w:spacing w:lineRule="exact" w:line="262" w:before="0" w:after="60"/>
        <w:jc w:val="both"/>
        <w:rPr/>
      </w:pPr>
      <w:r>
        <w:rPr>
          <w:rFonts w:eastAsia="Times New Roman" w:cs="Times New Roman"/>
          <w:sz w:val="24"/>
          <w:szCs w:val="24"/>
        </w:rPr>
        <w:t>Письмо в Заказчика о принятых технических решениях по Комплексу 2.</w:t>
      </w:r>
    </w:p>
    <w:p>
      <w:pPr>
        <w:pStyle w:val="ListParagraph"/>
        <w:numPr>
          <w:ilvl w:val="0"/>
          <w:numId w:val="1"/>
        </w:numPr>
        <w:spacing w:lineRule="exact" w:line="262" w:before="0" w:after="60"/>
        <w:jc w:val="both"/>
        <w:rPr/>
      </w:pPr>
      <w:r>
        <w:rPr>
          <w:rFonts w:eastAsia="Times New Roman" w:cs="Times New Roman"/>
          <w:sz w:val="24"/>
          <w:szCs w:val="24"/>
        </w:rPr>
        <w:t>ТКП ООО «Челябинский завод «Теплоприбор» № Вн-90-273 от 24.09.2026 (датчики ТР01, гильзы ГЗР-01, кабельные вводы).</w:t>
      </w:r>
    </w:p>
    <w:p>
      <w:pPr>
        <w:pStyle w:val="ListParagraph"/>
        <w:numPr>
          <w:ilvl w:val="0"/>
          <w:numId w:val="1"/>
        </w:numPr>
        <w:spacing w:lineRule="exact" w:line="262" w:before="0" w:after="60"/>
        <w:jc w:val="both"/>
        <w:rPr/>
      </w:pPr>
      <w:r>
        <w:rPr>
          <w:rFonts w:eastAsia="Times New Roman" w:cs="Times New Roman"/>
          <w:sz w:val="24"/>
          <w:szCs w:val="24"/>
        </w:rPr>
        <w:t>Технологические планировки отделений хранителей и смесителей кислот здания №2 ОП.</w:t>
      </w:r>
    </w:p>
    <w:p>
      <w:pPr>
        <w:pStyle w:val="ListParagraph"/>
        <w:numPr>
          <w:ilvl w:val="0"/>
          <w:numId w:val="1"/>
        </w:numPr>
        <w:spacing w:lineRule="exact" w:line="262" w:before="0" w:after="60"/>
        <w:jc w:val="both"/>
        <w:rPr/>
      </w:pPr>
      <w:r>
        <w:rPr>
          <w:rFonts w:eastAsia="Times New Roman" w:cs="Times New Roman"/>
          <w:sz w:val="24"/>
          <w:szCs w:val="24"/>
        </w:rPr>
        <w:t>Места установки шкафов Комплексов 1 и 2: _______________________________ (передаются Исполнителем).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Недостающие данные (расположение существующих кабельных конструкций, технологических трубопроводов, площадок обслуживания) Проектировщик получает при обследовании объекта совместно с Исполнителем и представителями Заказчика.</w:t>
      </w:r>
    </w:p>
    <w:p>
      <w:pPr>
        <w:pStyle w:val="Normal"/>
        <w:keepNext w:val="true"/>
        <w:keepLines/>
        <w:spacing w:before="240" w:after="120"/>
        <w:rPr/>
      </w:pPr>
      <w:r>
        <w:rPr>
          <w:rFonts w:eastAsia="Times New Roman" w:cs="Times New Roman"/>
          <w:b/>
          <w:bCs/>
          <w:sz w:val="24"/>
          <w:szCs w:val="24"/>
        </w:rPr>
        <w:t>4. Подключаемое оборудование</w:t>
      </w:r>
    </w:p>
    <w:p>
      <w:pPr>
        <w:pStyle w:val="Normal"/>
        <w:keepNext w:val="true"/>
        <w:spacing w:lineRule="exact" w:line="262" w:before="0" w:after="100"/>
        <w:rPr/>
      </w:pPr>
      <w:r>
        <w:rPr>
          <w:rFonts w:eastAsia="Times New Roman" w:cs="Times New Roman"/>
          <w:sz w:val="24"/>
          <w:szCs w:val="24"/>
        </w:rPr>
        <w:t>Таблица 1 — Полевое оборудование Комплексов 1 и 2</w:t>
      </w:r>
    </w:p>
    <w:tbl>
      <w:tblPr>
        <w:tblW w:w="9637" w:type="dxa"/>
        <w:jc w:val="left"/>
        <w:tblInd w:w="0" w:type="dxa"/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1050"/>
        <w:gridCol w:w="3250"/>
        <w:gridCol w:w="1149"/>
        <w:gridCol w:w="3000"/>
        <w:gridCol w:w="1188"/>
      </w:tblGrid>
      <w:tr>
        <w:trPr>
          <w:tblHeader w:val="true"/>
          <w:cantSplit w:val="true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1"/>
                <w:szCs w:val="21"/>
              </w:rPr>
              <w:t>Комплекс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1"/>
                <w:szCs w:val="21"/>
              </w:rPr>
              <w:t>Оборудование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1"/>
                <w:szCs w:val="21"/>
              </w:rPr>
              <w:t>Позиции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1"/>
                <w:szCs w:val="21"/>
              </w:rPr>
              <w:t>Размещение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1"/>
                <w:szCs w:val="21"/>
              </w:rPr>
              <w:t>Кол-во</w:t>
            </w:r>
          </w:p>
        </w:tc>
      </w:tr>
      <w:tr>
        <w:trPr>
          <w:cantSplit w:val="true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Газоанализатор ЭРИС Advant, H₂SO₄ / HNO₃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AT1–AT4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Отделение хранителей, отм. 0,000, оси 10–20, вдоль стен по осям Б и Г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6 (4 / 2)</w:t>
            </w:r>
          </w:p>
        </w:tc>
      </w:tr>
      <w:tr>
        <w:trPr>
          <w:cantSplit w:val="true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Газоанализатор ЭРИС Advant, H₂SO₄ / HNO₃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AT5, AT6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Отделение смесителей, отм. 4,600, оси 2–7, центральный проход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4 (2 / 2)</w:t>
            </w:r>
          </w:p>
        </w:tc>
      </w:tr>
      <w:tr>
        <w:trPr>
          <w:cantSplit w:val="true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Газоанализатор ЭРИС Advant, H₂SO₄ / HNO₃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AT7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Отделение смесителей, отм. 7,200, оси 7–8, площадка мерников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2 (1 / 1)</w:t>
            </w:r>
          </w:p>
        </w:tc>
      </w:tr>
      <w:tr>
        <w:trPr>
          <w:cantSplit w:val="true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Светозвуковые оповещатели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—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По проекту (входы в помещения, зоны контроля)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по проекту</w:t>
            </w:r>
          </w:p>
        </w:tc>
      </w:tr>
      <w:tr>
        <w:trPr>
          <w:cantSplit w:val="true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Датчик температуры ТР01 (Pt100, 4–20 мА/HART, 0Ex ia IIC T6) в гильзе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TT1–TT10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Смесители, отм. 4,600, оси 2–7, ряды по осям А и В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10</w:t>
            </w:r>
          </w:p>
        </w:tc>
      </w:tr>
      <w:tr>
        <w:trPr>
          <w:cantSplit w:val="true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Датчик температуры ТР01 (то же)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TT11–TT14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Дозировочные мерники, отм. 7,200, оси 7–8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1"/>
                <w:szCs w:val="21"/>
              </w:rPr>
              <w:t>4</w:t>
            </w:r>
          </w:p>
        </w:tc>
      </w:tr>
    </w:tbl>
    <w:p>
      <w:pPr>
        <w:pStyle w:val="Normal"/>
        <w:spacing w:before="0" w:after="60"/>
        <w:rPr/>
      </w:pPr>
      <w:r>
        <w:rPr/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Датчики температуры устанавливаются горизонтально в штуцеры, ввариваемые в корпус аппаратов ниже минимального уровня среды. Точные отметки врезки определяются при проектировании по чертежам аппаратов. Позиционные обозначения приняты условно и уточняются в проекте.</w:t>
      </w:r>
    </w:p>
    <w:p>
      <w:pPr>
        <w:pStyle w:val="Normal"/>
        <w:keepNext w:val="true"/>
        <w:keepLines/>
        <w:spacing w:before="240" w:after="120"/>
        <w:rPr/>
      </w:pPr>
      <w:r>
        <w:rPr>
          <w:rFonts w:eastAsia="Times New Roman" w:cs="Times New Roman"/>
          <w:b/>
          <w:bCs/>
          <w:sz w:val="24"/>
          <w:szCs w:val="24"/>
        </w:rPr>
        <w:t>5. Требования к кабельным трассам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5.1. Тип лотков. Прокладка кабелей выполняется в закрытых стеклопластиковых лотках «Паотэк Файбер» с крышками, в соответствии с требованиями ТЗ Заказчика о прокладке кабельных трасс в закрытых лотках. Стеклопластик стоек к парам серной и азотной кислоты и не требует антикоррозионной защиты.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5.2. Опорные конструкции и крепёж. Выполняются из стеклопластика той же системы либо из нержавеющей стали (12Х18Н10Т/AISI 321 или аналог). Применение оцинкованной и окрашенной углеродистой стали не допускается. Типоразмеры лотков, аксессуаров и шаг опор принимаются по каталогу изготовителя с учётом нагрузки от кабелей.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5.3. Разделение цепей. Искробезопасные цепи прокладываются отдельно от неискробезопасных и силовых цепей: в отдельных лотках или в лотке с разделительной перегородкой, в соответствии с ПУЭ (гл. 7.3) и ГОСТ IEC 60079-14. Кабели искробезопасных цепей маркируются синим цветом. Цепи питания газоанализаторов и оповещателей Комплекса 1 прокладываются с учётом вида их взрывозащиты по документации изготовителя.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5.4. Совместная прокладка. Допускается прокладка кабелей Комплексов 1 и 2 в общих магистральных лотках при соблюдении требований п. 5.3, с раздельной маркировкой кабелей по комплексам.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5.5. Трассировка относительно технологического оборудования. Трассы не прокладываются под фланцевыми соединениями, арматурой и сальниками кислотных трубопроводов и аппаратов, а также в зоне возможного пролива и разбрызгивания кислот. Трассы не должны препятствовать обслуживанию, ремонту и демонтажу технологического оборудования, проходу персонала и работе грузоподъёмных механизмов.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5.6. Опуски к приборам. Подвод кабелей от лотка к приборам выполняется в защитных трубах или металлорукавах из коррозионностойкого материала с учётом типа кабельных вводов приборов (для датчиков ТР01 — кабельный ввод М20×1,5 под небронированный кабель 6,5–13,9 мм). Опуски к датчикам температуры не должны мешать снятию датчиков на поверку.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5.7. Проходы через стены и перекрытия, в том числе между отметками 0,000, 4,600 и 7,200, выполняются с огнестойкими уплотнениями с пределом огнестойкости не ниже предела огнестойкости пересекаемой конструкции. На границах взрывоопасных зон проходы уплотняются газонепроницаемо.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5.8. Запас ёмкости. Лотки выбираются с запасом по заполнению не менее 30 % для возможного расширения комплексов.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5.9. Электростатическая безопасность и заземление. Лотки, прокладываемые во взрывоопасных зонах, должны иметь антистатическое исполнение, подтверждённое документацией изготовителя, в соответствии с требованиями ГОСТ 31610.0 к неметаллическим материалам оборудования для взрывоопасных сред. Металлические опорные конструкции и крепёж присоединяются к системе уравнивания потенциалов здания.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5.10. Существующие кабельные конструкции. При наличии свободных существующих конструкций рассмотреть возможность их использования, если они удовлетворяют требованиям пп. 5.2, 5.3 и 5.9.</w:t>
      </w:r>
    </w:p>
    <w:p>
      <w:pPr>
        <w:pStyle w:val="Normal"/>
        <w:keepNext w:val="true"/>
        <w:keepLines/>
        <w:spacing w:before="240" w:after="120"/>
        <w:rPr/>
      </w:pPr>
      <w:r>
        <w:rPr>
          <w:rFonts w:eastAsia="Times New Roman" w:cs="Times New Roman"/>
          <w:b/>
          <w:bCs/>
          <w:sz w:val="24"/>
          <w:szCs w:val="24"/>
        </w:rPr>
        <w:t>6. Требования к кабелям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6.1. Сигнальные цепи 4–20 мА/HART — экранированные кабели с витыми парами. Исполнение не ниже нг(А)-LS.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6.2. Кабели газоанализаторов и оповещателей Комплекса 1 — по требованиям документации ЭРИС и изготовителя оповещателей.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6.3. Сечения жил и параметры кабелей искробезопасных цепей (ёмкость, индуктивность) подтверждаются расчётом с учётом параметров барьеров искрозащиты.</w:t>
      </w:r>
    </w:p>
    <w:p>
      <w:pPr>
        <w:pStyle w:val="Normal"/>
        <w:keepNext w:val="true"/>
        <w:keepLines/>
        <w:spacing w:before="240" w:after="120"/>
        <w:rPr/>
      </w:pPr>
      <w:r>
        <w:rPr>
          <w:rFonts w:eastAsia="Times New Roman" w:cs="Times New Roman"/>
          <w:b/>
          <w:bCs/>
          <w:sz w:val="24"/>
          <w:szCs w:val="24"/>
        </w:rPr>
        <w:t>7. Состав проектной документации</w:t>
      </w:r>
    </w:p>
    <w:p>
      <w:pPr>
        <w:pStyle w:val="ListParagraph"/>
        <w:numPr>
          <w:ilvl w:val="0"/>
          <w:numId w:val="1"/>
        </w:numPr>
        <w:spacing w:lineRule="exact" w:line="262" w:before="0" w:after="60"/>
        <w:jc w:val="both"/>
        <w:rPr/>
      </w:pPr>
      <w:r>
        <w:rPr>
          <w:rFonts w:eastAsia="Times New Roman" w:cs="Times New Roman"/>
          <w:sz w:val="24"/>
          <w:szCs w:val="24"/>
        </w:rPr>
        <w:t>Общие данные, ведомость рабочих чертежей.</w:t>
      </w:r>
    </w:p>
    <w:p>
      <w:pPr>
        <w:pStyle w:val="ListParagraph"/>
        <w:numPr>
          <w:ilvl w:val="0"/>
          <w:numId w:val="1"/>
        </w:numPr>
        <w:spacing w:lineRule="exact" w:line="262" w:before="0" w:after="60"/>
        <w:jc w:val="both"/>
        <w:rPr/>
      </w:pPr>
      <w:r>
        <w:rPr>
          <w:rFonts w:eastAsia="Times New Roman" w:cs="Times New Roman"/>
          <w:sz w:val="24"/>
          <w:szCs w:val="24"/>
        </w:rPr>
        <w:t>Планы кабельных трасс на отм. 0,000, 4,600 и 7,200 с привязкой к осям здания.</w:t>
      </w:r>
    </w:p>
    <w:p>
      <w:pPr>
        <w:pStyle w:val="ListParagraph"/>
        <w:numPr>
          <w:ilvl w:val="0"/>
          <w:numId w:val="1"/>
        </w:numPr>
        <w:spacing w:lineRule="exact" w:line="262" w:before="0" w:after="60"/>
        <w:jc w:val="both"/>
        <w:rPr/>
      </w:pPr>
      <w:r>
        <w:rPr>
          <w:rFonts w:eastAsia="Times New Roman" w:cs="Times New Roman"/>
          <w:sz w:val="24"/>
          <w:szCs w:val="24"/>
        </w:rPr>
        <w:t>Разрезы и узлы: крепление лотков, опуски к приборам, проходы через стены и перекрытия.</w:t>
      </w:r>
    </w:p>
    <w:p>
      <w:pPr>
        <w:pStyle w:val="ListParagraph"/>
        <w:numPr>
          <w:ilvl w:val="0"/>
          <w:numId w:val="1"/>
        </w:numPr>
        <w:spacing w:lineRule="exact" w:line="262" w:before="0" w:after="60"/>
        <w:jc w:val="both"/>
        <w:rPr/>
      </w:pPr>
      <w:r>
        <w:rPr>
          <w:rFonts w:eastAsia="Times New Roman" w:cs="Times New Roman"/>
          <w:sz w:val="24"/>
          <w:szCs w:val="24"/>
        </w:rPr>
        <w:t>Схема разделения искробезопасных и неискробезопасных цепей.</w:t>
      </w:r>
    </w:p>
    <w:p>
      <w:pPr>
        <w:pStyle w:val="ListParagraph"/>
        <w:numPr>
          <w:ilvl w:val="0"/>
          <w:numId w:val="1"/>
        </w:numPr>
        <w:spacing w:lineRule="exact" w:line="262" w:before="0" w:after="60"/>
        <w:jc w:val="both"/>
        <w:rPr/>
      </w:pPr>
      <w:r>
        <w:rPr>
          <w:rFonts w:eastAsia="Times New Roman" w:cs="Times New Roman"/>
          <w:sz w:val="24"/>
          <w:szCs w:val="24"/>
        </w:rPr>
        <w:t>Кабельный журнал.</w:t>
      </w:r>
    </w:p>
    <w:p>
      <w:pPr>
        <w:pStyle w:val="ListParagraph"/>
        <w:numPr>
          <w:ilvl w:val="0"/>
          <w:numId w:val="1"/>
        </w:numPr>
        <w:spacing w:lineRule="exact" w:line="262" w:before="0" w:after="60"/>
        <w:jc w:val="both"/>
        <w:rPr/>
      </w:pPr>
      <w:r>
        <w:rPr>
          <w:rFonts w:eastAsia="Times New Roman" w:cs="Times New Roman"/>
          <w:sz w:val="24"/>
          <w:szCs w:val="24"/>
        </w:rPr>
        <w:t>Спецификация лотков «Паотэк Файбер», аксессуаров, опорных конструкций, крепежа и материалов уплотнения.</w:t>
      </w:r>
    </w:p>
    <w:p>
      <w:pPr>
        <w:pStyle w:val="Normal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Документацию выполнить в соответствии с ГОСТ Р 21.101-2020. Передать в формате PDF и в исходных форматах (DWG, DOC/XLS).</w:t>
      </w:r>
    </w:p>
    <w:p>
      <w:pPr>
        <w:pStyle w:val="Normal"/>
        <w:keepNext w:val="true"/>
        <w:keepLines/>
        <w:spacing w:before="240" w:after="120"/>
        <w:rPr/>
      </w:pPr>
      <w:r>
        <w:rPr>
          <w:rFonts w:eastAsia="Times New Roman" w:cs="Times New Roman"/>
          <w:b/>
          <w:bCs/>
          <w:sz w:val="24"/>
          <w:szCs w:val="24"/>
        </w:rPr>
        <w:t>8. Сроки и порядок согласования</w:t>
      </w:r>
    </w:p>
    <w:p>
      <w:pPr>
        <w:pStyle w:val="Normal"/>
        <w:keepNext w:val="true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8.1. Срок выполнения: до «___» ___________ 2026 г.</w:t>
      </w:r>
    </w:p>
    <w:p>
      <w:pPr>
        <w:pStyle w:val="Normal"/>
        <w:keepNext w:val="true"/>
        <w:spacing w:lineRule="exact" w:line="262" w:before="0" w:after="100"/>
        <w:ind w:firstLine="709"/>
        <w:jc w:val="both"/>
        <w:rPr/>
      </w:pPr>
      <w:r>
        <w:rPr>
          <w:rFonts w:eastAsia="Times New Roman" w:cs="Times New Roman"/>
          <w:sz w:val="24"/>
          <w:szCs w:val="24"/>
        </w:rPr>
        <w:t>8.2. Проектные решения согласовываются с ООО «», затем направляются на согласование в Заказчика.</w:t>
      </w:r>
    </w:p>
    <w:p>
      <w:pPr>
        <w:pStyle w:val="Normal"/>
        <w:keepNext w:val="true"/>
        <w:spacing w:before="360" w:after="120"/>
        <w:rPr/>
      </w:pPr>
      <w:r>
        <w:rPr>
          <w:rFonts w:eastAsia="Times New Roman" w:cs="Times New Roman"/>
          <w:sz w:val="24"/>
          <w:szCs w:val="24"/>
        </w:rPr>
        <w:t>Составил:</w:t>
      </w:r>
    </w:p>
    <w:p>
      <w:pPr>
        <w:pStyle w:val="Normal"/>
        <w:keepNext w:val="true"/>
        <w:tabs>
          <w:tab w:val="clear" w:pos="720"/>
          <w:tab w:val="left" w:pos="5103" w:leader="none"/>
        </w:tabs>
        <w:spacing w:lineRule="exact" w:line="262" w:before="0" w:after="100"/>
        <w:rPr/>
      </w:pPr>
      <w:r>
        <w:rPr>
          <w:rFonts w:eastAsia="Times New Roman" w:cs="Times New Roman"/>
          <w:sz w:val="24"/>
          <w:szCs w:val="24"/>
        </w:rPr>
        <w:t>_______________________</w:t>
        <w:tab/>
        <w:t>____________ / ________________</w:t>
      </w:r>
    </w:p>
    <w:p>
      <w:pPr>
        <w:pStyle w:val="Normal"/>
        <w:tabs>
          <w:tab w:val="clear" w:pos="720"/>
          <w:tab w:val="left" w:pos="5103" w:leader="none"/>
        </w:tabs>
        <w:spacing w:lineRule="exact" w:line="262" w:before="0" w:after="100"/>
        <w:rPr/>
      </w:pPr>
      <w:r>
        <w:rPr>
          <w:rFonts w:eastAsia="Times New Roman" w:cs="Times New Roman"/>
          <w:sz w:val="18"/>
          <w:szCs w:val="18"/>
        </w:rPr>
        <w:t>(должность)</w:t>
        <w:tab/>
        <w:t>(подпись / ФИО)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701" w:right="850" w:gutter="0" w:header="0" w:top="1134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106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Style10"/>
    <w:qFormat/>
    <w:pPr/>
    <w:rPr>
      <w:color w:val="2E74B5"/>
      <w:sz w:val="32"/>
      <w:szCs w:val="32"/>
    </w:rPr>
  </w:style>
  <w:style w:type="paragraph" w:styleId="Heading2">
    <w:name w:val="Heading 2"/>
    <w:basedOn w:val="Style10"/>
    <w:qFormat/>
    <w:pPr/>
    <w:rPr>
      <w:color w:val="2E74B5"/>
      <w:sz w:val="26"/>
      <w:szCs w:val="26"/>
    </w:rPr>
  </w:style>
  <w:style w:type="paragraph" w:styleId="Heading3">
    <w:name w:val="Heading 3"/>
    <w:basedOn w:val="Style10"/>
    <w:qFormat/>
    <w:pPr/>
    <w:rPr>
      <w:color w:val="1F4D78"/>
      <w:sz w:val="24"/>
      <w:szCs w:val="24"/>
    </w:rPr>
  </w:style>
  <w:style w:type="paragraph" w:styleId="Heading4">
    <w:name w:val="Heading 4"/>
    <w:basedOn w:val="Style10"/>
    <w:qFormat/>
    <w:pPr/>
    <w:rPr>
      <w:i/>
      <w:iCs/>
      <w:color w:val="2E74B5"/>
    </w:rPr>
  </w:style>
  <w:style w:type="paragraph" w:styleId="Heading5">
    <w:name w:val="Heading 5"/>
    <w:basedOn w:val="Style10"/>
    <w:qFormat/>
    <w:pPr/>
    <w:rPr>
      <w:color w:val="2E74B5"/>
    </w:rPr>
  </w:style>
  <w:style w:type="paragraph" w:styleId="Heading6">
    <w:name w:val="Heading 6"/>
    <w:basedOn w:val="Style10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Style8">
    <w:name w:val="Символ сноски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Style9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Style10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LibreOffice/24.2.7.2$Linux_X86_64 LibreOffice_project/420$Build-2</Application>
  <AppVersion>15.0000</AppVersion>
  <Pages>3</Pages>
  <Words>968</Words>
  <Characters>6249</Characters>
  <CharactersWithSpaces>7099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2026-10-11T13:59:49Z</dcterms:created>
  <dc:creator>Un-named</dc:creator>
  <dc:description/>
  <dc:language>ru-RU</dc:language>
  <cp:lastModifiedBy/>
  <dcterms:modified xsi:type="dcterms:W3CDTF">2026-10-12T18:45:03Z</dcterms:modified>
  <cp:revision>2</cp:revision>
  <dc:subject/>
  <dc:title/>
</cp:coreProperties>
</file>